
<file path=[Content_Types].xml><?xml version="1.0" encoding="utf-8"?>
<Types xmlns="http://schemas.openxmlformats.org/package/2006/content-types">
  <Default Extension="tiff" ContentType="image/tiff"/>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70449">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default" w:ascii="Times New Roman" w:hAnsi="Times New Roman" w:eastAsia="宋体" w:cs="Times New Roman"/>
          <w:b/>
          <w:bCs/>
          <w:color w:val="000000" w:themeColor="text1"/>
          <w:sz w:val="24"/>
          <w:szCs w:val="32"/>
          <w:highlight w:val="none"/>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32"/>
          <w:highlight w:val="none"/>
          <w:lang w:val="en-US" w:eastAsia="zh-CN"/>
          <w14:textFill>
            <w14:solidFill>
              <w14:schemeClr w14:val="tx1"/>
            </w14:solidFill>
          </w14:textFill>
        </w:rPr>
        <w:t>第三章  恒定电流</w:t>
      </w:r>
    </w:p>
    <w:p w14:paraId="4A71F393">
      <w:pPr>
        <w:keepNext w:val="0"/>
        <w:keepLines w:val="0"/>
        <w:pageBreakBefore w:val="0"/>
        <w:widowControl w:val="0"/>
        <w:kinsoku/>
        <w:wordWrap/>
        <w:overflowPunct/>
        <w:topLinePunct w:val="0"/>
        <w:autoSpaceDE/>
        <w:autoSpaceDN/>
        <w:bidi w:val="0"/>
        <w:adjustRightInd/>
        <w:snapToGrid/>
        <w:spacing w:line="408" w:lineRule="auto"/>
        <w:jc w:val="center"/>
        <w:textAlignment w:val="auto"/>
        <w:rPr>
          <w:rFonts w:hint="eastAsia" w:ascii="Times New Roman" w:hAnsi="Times New Roman" w:eastAsia="宋体" w:cs="Times New Roman"/>
          <w:b/>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1"/>
          <w:highlight w:val="none"/>
          <w:lang w:val="en-US" w:eastAsia="zh-CN"/>
          <w14:textFill>
            <w14:solidFill>
              <w14:schemeClr w14:val="tx1"/>
            </w14:solidFill>
          </w14:textFill>
        </w:rPr>
        <w:t>专题五  电学实验基础</w:t>
      </w:r>
    </w:p>
    <w:p w14:paraId="2CC11291">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1．电流表的内、外接法</w:t>
      </w:r>
    </w:p>
    <w:tbl>
      <w:tblPr>
        <w:tblStyle w:val="5"/>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3871"/>
        <w:gridCol w:w="2559"/>
      </w:tblGrid>
      <w:tr w14:paraId="79CB5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tcBorders>
              <w:tl2br w:val="single" w:color="auto" w:sz="4" w:space="0"/>
            </w:tcBorders>
            <w:shd w:val="clear" w:color="auto" w:fill="auto"/>
            <w:vAlign w:val="center"/>
          </w:tcPr>
          <w:p w14:paraId="2A348CB4">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p>
        </w:tc>
        <w:tc>
          <w:tcPr>
            <w:tcW w:w="3871" w:type="dxa"/>
            <w:shd w:val="clear" w:color="auto" w:fill="auto"/>
            <w:vAlign w:val="center"/>
          </w:tcPr>
          <w:p w14:paraId="78E8B2B0">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内接法</w:t>
            </w:r>
          </w:p>
        </w:tc>
        <w:tc>
          <w:tcPr>
            <w:tcW w:w="2559" w:type="dxa"/>
            <w:shd w:val="clear" w:color="auto" w:fill="auto"/>
            <w:vAlign w:val="center"/>
          </w:tcPr>
          <w:p w14:paraId="37DAE55F">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外接法</w:t>
            </w:r>
          </w:p>
        </w:tc>
      </w:tr>
      <w:tr w14:paraId="78E2B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729" w:type="dxa"/>
            <w:shd w:val="clear" w:color="auto" w:fill="auto"/>
            <w:vAlign w:val="center"/>
          </w:tcPr>
          <w:p w14:paraId="4CA8655F">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电路图</w:t>
            </w:r>
          </w:p>
        </w:tc>
        <w:tc>
          <w:tcPr>
            <w:tcW w:w="3871" w:type="dxa"/>
            <w:shd w:val="clear" w:color="auto" w:fill="auto"/>
            <w:vAlign w:val="center"/>
          </w:tcPr>
          <w:p w14:paraId="37322681">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drawing>
                <wp:inline distT="0" distB="0" distL="114300" distR="114300">
                  <wp:extent cx="920115" cy="713105"/>
                  <wp:effectExtent l="0" t="0" r="13335" b="10795"/>
                  <wp:docPr id="78" name="图片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91"/>
                          <pic:cNvPicPr>
                            <a:picLocks noChangeAspect="1"/>
                          </pic:cNvPicPr>
                        </pic:nvPicPr>
                        <pic:blipFill>
                          <a:blip r:embed="rId6"/>
                          <a:stretch>
                            <a:fillRect/>
                          </a:stretch>
                        </pic:blipFill>
                        <pic:spPr>
                          <a:xfrm>
                            <a:off x="0" y="0"/>
                            <a:ext cx="920115" cy="713105"/>
                          </a:xfrm>
                          <a:prstGeom prst="rect">
                            <a:avLst/>
                          </a:prstGeom>
                          <a:noFill/>
                          <a:ln>
                            <a:noFill/>
                          </a:ln>
                        </pic:spPr>
                      </pic:pic>
                    </a:graphicData>
                  </a:graphic>
                </wp:inline>
              </w:drawing>
            </w:r>
          </w:p>
        </w:tc>
        <w:tc>
          <w:tcPr>
            <w:tcW w:w="2559" w:type="dxa"/>
            <w:shd w:val="clear" w:color="auto" w:fill="auto"/>
            <w:vAlign w:val="center"/>
          </w:tcPr>
          <w:p w14:paraId="12DA1BD2">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drawing>
                <wp:inline distT="0" distB="0" distL="114300" distR="114300">
                  <wp:extent cx="988695" cy="615315"/>
                  <wp:effectExtent l="0" t="0" r="1905" b="13335"/>
                  <wp:docPr id="85" name="图片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92"/>
                          <pic:cNvPicPr>
                            <a:picLocks noChangeAspect="1"/>
                          </pic:cNvPicPr>
                        </pic:nvPicPr>
                        <pic:blipFill>
                          <a:blip r:embed="rId7"/>
                          <a:stretch>
                            <a:fillRect/>
                          </a:stretch>
                        </pic:blipFill>
                        <pic:spPr>
                          <a:xfrm>
                            <a:off x="0" y="0"/>
                            <a:ext cx="988695" cy="615315"/>
                          </a:xfrm>
                          <a:prstGeom prst="rect">
                            <a:avLst/>
                          </a:prstGeom>
                          <a:noFill/>
                          <a:ln>
                            <a:noFill/>
                          </a:ln>
                        </pic:spPr>
                      </pic:pic>
                    </a:graphicData>
                  </a:graphic>
                </wp:inline>
              </w:drawing>
            </w:r>
          </w:p>
        </w:tc>
      </w:tr>
      <w:tr w14:paraId="56A2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729" w:type="dxa"/>
            <w:shd w:val="clear" w:color="auto" w:fill="auto"/>
            <w:vAlign w:val="center"/>
          </w:tcPr>
          <w:p w14:paraId="5BB563B7">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误差原因</w:t>
            </w:r>
          </w:p>
        </w:tc>
        <w:tc>
          <w:tcPr>
            <w:tcW w:w="3871" w:type="dxa"/>
            <w:shd w:val="clear" w:color="auto" w:fill="auto"/>
            <w:vAlign w:val="center"/>
          </w:tcPr>
          <w:p w14:paraId="179D43C8">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电流表分压</w:t>
            </w:r>
          </w:p>
          <w:p w14:paraId="013C2B02">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U</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测</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c>
          <w:tcPr>
            <w:tcW w:w="2559" w:type="dxa"/>
            <w:shd w:val="clear" w:color="auto" w:fill="auto"/>
            <w:vAlign w:val="center"/>
          </w:tcPr>
          <w:p w14:paraId="44AAB9C0">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电压表分流</w:t>
            </w:r>
          </w:p>
          <w:p w14:paraId="75EF4EC2">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I</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测</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p>
        </w:tc>
      </w:tr>
      <w:tr w14:paraId="41692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jc w:val="center"/>
        </w:trPr>
        <w:tc>
          <w:tcPr>
            <w:tcW w:w="1729" w:type="dxa"/>
            <w:shd w:val="clear" w:color="auto" w:fill="auto"/>
            <w:vAlign w:val="center"/>
          </w:tcPr>
          <w:p w14:paraId="715B21EE">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电阻测量值</w:t>
            </w:r>
          </w:p>
        </w:tc>
        <w:tc>
          <w:tcPr>
            <w:tcW w:w="3871" w:type="dxa"/>
            <w:shd w:val="clear" w:color="auto" w:fill="auto"/>
            <w:vAlign w:val="center"/>
          </w:tcPr>
          <w:p w14:paraId="23BC2873">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测</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\f(</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U</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测</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,I</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测</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A</w:t>
            </w:r>
            <w:r>
              <w:rPr>
                <w:rFonts w:hint="eastAsia" w:ascii="Times New Roman" w:hAnsi="Times New Roman" w:cs="Times New Roman"/>
                <w:color w:val="000000" w:themeColor="text1"/>
                <w:sz w:val="21"/>
                <w:szCs w:val="21"/>
                <w:u w:val="single"/>
                <w:vertAlign w:val="subscript"/>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p>
          <w:p w14:paraId="75FA7404">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测量值</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真实值</w:t>
            </w:r>
          </w:p>
        </w:tc>
        <w:tc>
          <w:tcPr>
            <w:tcW w:w="2559" w:type="dxa"/>
            <w:shd w:val="clear" w:color="auto" w:fill="auto"/>
            <w:vAlign w:val="center"/>
          </w:tcPr>
          <w:p w14:paraId="2E95FA11">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测</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\f(</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U</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测</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,I</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测</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\f(</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instrText xml:space="preserve">x</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V</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instrText xml:space="preserve">x</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V</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p>
          <w:p w14:paraId="2EBDB33A">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测量值</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真实值</w:t>
            </w:r>
          </w:p>
        </w:tc>
      </w:tr>
      <w:tr w14:paraId="794E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729" w:type="dxa"/>
            <w:shd w:val="clear" w:color="auto" w:fill="auto"/>
            <w:vAlign w:val="center"/>
          </w:tcPr>
          <w:p w14:paraId="064D263E">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适用于测量</w:t>
            </w:r>
          </w:p>
        </w:tc>
        <w:tc>
          <w:tcPr>
            <w:tcW w:w="3871" w:type="dxa"/>
            <w:shd w:val="clear" w:color="auto" w:fill="auto"/>
            <w:vAlign w:val="center"/>
          </w:tcPr>
          <w:p w14:paraId="238C7795">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大阻值电阻</w:t>
            </w:r>
          </w:p>
        </w:tc>
        <w:tc>
          <w:tcPr>
            <w:tcW w:w="2559" w:type="dxa"/>
            <w:shd w:val="clear" w:color="auto" w:fill="auto"/>
            <w:vAlign w:val="center"/>
          </w:tcPr>
          <w:p w14:paraId="3CC6C49F">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小阻值电阻</w:t>
            </w:r>
          </w:p>
        </w:tc>
      </w:tr>
      <w:tr w14:paraId="1EFC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29" w:type="dxa"/>
            <w:shd w:val="clear" w:color="auto" w:fill="auto"/>
            <w:vAlign w:val="center"/>
          </w:tcPr>
          <w:p w14:paraId="30FD7768">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两种电路</w:t>
            </w:r>
          </w:p>
          <w:p w14:paraId="1887F6FD">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选择标准</w:t>
            </w:r>
          </w:p>
        </w:tc>
        <w:tc>
          <w:tcPr>
            <w:tcW w:w="6430" w:type="dxa"/>
            <w:gridSpan w:val="2"/>
            <w:shd w:val="clear" w:color="auto" w:fill="auto"/>
            <w:vAlign w:val="center"/>
          </w:tcPr>
          <w:p w14:paraId="51408C91">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当</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A</w:t>
            </w:r>
            <w:r>
              <w:rPr>
                <w:rFonts w:hint="eastAsia" w:ascii="Times New Roman" w:hAnsi="Times New Roman" w:cs="Times New Roman"/>
                <w:color w:val="000000" w:themeColor="text1"/>
                <w:sz w:val="21"/>
                <w:szCs w:val="21"/>
                <w:lang w:val="en-US" w:eastAsia="zh-CN"/>
                <w14:textFill>
                  <w14:solidFill>
                    <w14:schemeClr w14:val="tx1"/>
                  </w14:solidFill>
                </w14:textFill>
              </w:rPr>
              <w:t>远小于</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或</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&gt;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\r(</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A</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V</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default" w:ascii="Times New Roman" w:hAnsi="Times New Roman" w:cs="Times New Roman" w:eastAsiaTheme="minorEastAsia"/>
                <w:color w:val="000000" w:themeColor="text1"/>
                <w:sz w:val="21"/>
                <w:szCs w:val="21"/>
                <w14:textFill>
                  <w14:solidFill>
                    <w14:schemeClr w14:val="tx1"/>
                  </w14:solidFill>
                </w14:textFill>
              </w:rPr>
              <w:t>时，选用电流表</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法</w:t>
            </w:r>
          </w:p>
          <w:p w14:paraId="1D494F04">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当</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V</w:t>
            </w:r>
            <w:r>
              <w:rPr>
                <w:rFonts w:hint="eastAsia" w:ascii="Times New Roman" w:hAnsi="Times New Roman" w:cs="Times New Roman"/>
                <w:color w:val="000000" w:themeColor="text1"/>
                <w:sz w:val="21"/>
                <w:szCs w:val="21"/>
                <w:lang w:val="en-US" w:eastAsia="zh-CN"/>
                <w14:textFill>
                  <w14:solidFill>
                    <w14:schemeClr w14:val="tx1"/>
                  </w14:solidFill>
                </w14:textFill>
              </w:rPr>
              <w:t>远大于</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或</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default" w:ascii="Times New Roman" w:hAnsi="Times New Roman" w:cs="Times New Roman" w:eastAsiaTheme="minorEastAsia"/>
                <w:color w:val="000000" w:themeColor="text1"/>
                <w:sz w:val="21"/>
                <w:szCs w:val="21"/>
                <w14:textFill>
                  <w14:solidFill>
                    <w14:schemeClr w14:val="tx1"/>
                  </w14:solidFill>
                </w14:textFill>
              </w:rPr>
              <w:t>&lt;</w: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begin"/>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eq \r(</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A</w:instrText>
            </w:r>
            <w:r>
              <w:rPr>
                <w:rFonts w:hint="default" w:ascii="Times New Roman" w:hAnsi="Times New Roman" w:cs="Times New Roman" w:eastAsiaTheme="minorEastAsia"/>
                <w:i/>
                <w:color w:val="000000" w:themeColor="text1"/>
                <w:sz w:val="21"/>
                <w:szCs w:val="21"/>
                <w14:textFill>
                  <w14:solidFill>
                    <w14:schemeClr w14:val="tx1"/>
                  </w14:solidFill>
                </w14:textFill>
              </w:rPr>
              <w:instrText xml:space="preserve">R</w:instrTex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instrText xml:space="preserve">V</w:instrText>
            </w:r>
            <w:r>
              <w:rPr>
                <w:rFonts w:hint="default" w:ascii="Times New Roman" w:hAnsi="Times New Roman" w:cs="Times New Roman" w:eastAsiaTheme="minorEastAsia"/>
                <w:color w:val="000000" w:themeColor="text1"/>
                <w:sz w:val="21"/>
                <w:szCs w:val="21"/>
                <w14:textFill>
                  <w14:solidFill>
                    <w14:schemeClr w14:val="tx1"/>
                  </w14:solidFill>
                </w14:textFill>
              </w:rPr>
              <w:instrText xml:space="preserve">)</w:instrText>
            </w:r>
            <w:r>
              <w:rPr>
                <w:rFonts w:hint="default" w:ascii="Times New Roman" w:hAnsi="Times New Roman" w:cs="Times New Roman" w:eastAsiaTheme="minorEastAsia"/>
                <w:color w:val="000000" w:themeColor="text1"/>
                <w:sz w:val="21"/>
                <w:szCs w:val="21"/>
                <w14:textFill>
                  <w14:solidFill>
                    <w14:schemeClr w14:val="tx1"/>
                  </w14:solidFill>
                </w14:textFill>
              </w:rPr>
              <w:fldChar w:fldCharType="end"/>
            </w:r>
            <w:r>
              <w:rPr>
                <w:rFonts w:hint="default" w:ascii="Times New Roman" w:hAnsi="Times New Roman" w:cs="Times New Roman" w:eastAsiaTheme="minorEastAsia"/>
                <w:color w:val="000000" w:themeColor="text1"/>
                <w:sz w:val="21"/>
                <w:szCs w:val="21"/>
                <w14:textFill>
                  <w14:solidFill>
                    <w14:schemeClr w14:val="tx1"/>
                  </w14:solidFill>
                </w14:textFill>
              </w:rPr>
              <w:t>时，选用电流表</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法</w:t>
            </w:r>
          </w:p>
        </w:tc>
      </w:tr>
    </w:tbl>
    <w:p w14:paraId="04B0DA66">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44499F51">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2.滑动变阻器两种连接方式的对比</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40"/>
        <w:gridCol w:w="1999"/>
        <w:gridCol w:w="2064"/>
        <w:gridCol w:w="1916"/>
      </w:tblGrid>
      <w:tr w14:paraId="1B650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240" w:type="dxa"/>
            <w:tcBorders>
              <w:tl2br w:val="single" w:color="auto" w:sz="4" w:space="0"/>
            </w:tcBorders>
            <w:shd w:val="clear" w:color="auto" w:fill="auto"/>
            <w:vAlign w:val="center"/>
          </w:tcPr>
          <w:p w14:paraId="3D1C550C">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p>
        </w:tc>
        <w:tc>
          <w:tcPr>
            <w:tcW w:w="1999" w:type="dxa"/>
            <w:shd w:val="clear" w:color="auto" w:fill="auto"/>
            <w:vAlign w:val="center"/>
          </w:tcPr>
          <w:p w14:paraId="5D7526E6">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限流接法</w:t>
            </w:r>
          </w:p>
        </w:tc>
        <w:tc>
          <w:tcPr>
            <w:tcW w:w="2064" w:type="dxa"/>
            <w:shd w:val="clear" w:color="auto" w:fill="auto"/>
            <w:vAlign w:val="center"/>
          </w:tcPr>
          <w:p w14:paraId="20707109">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分压接法</w:t>
            </w:r>
          </w:p>
        </w:tc>
        <w:tc>
          <w:tcPr>
            <w:tcW w:w="1916" w:type="dxa"/>
            <w:shd w:val="clear" w:color="auto" w:fill="auto"/>
            <w:vAlign w:val="center"/>
          </w:tcPr>
          <w:p w14:paraId="3680088E">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对比说明</w:t>
            </w:r>
          </w:p>
        </w:tc>
      </w:tr>
      <w:tr w14:paraId="1FBC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2240" w:type="dxa"/>
            <w:shd w:val="clear" w:color="auto" w:fill="auto"/>
            <w:vAlign w:val="center"/>
          </w:tcPr>
          <w:p w14:paraId="3AF38AAF">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电路图</w:t>
            </w:r>
          </w:p>
        </w:tc>
        <w:tc>
          <w:tcPr>
            <w:tcW w:w="1999" w:type="dxa"/>
            <w:shd w:val="clear" w:color="auto" w:fill="auto"/>
            <w:vAlign w:val="center"/>
          </w:tcPr>
          <w:p w14:paraId="5F4C981C">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drawing>
                <wp:inline distT="0" distB="0" distL="114300" distR="114300">
                  <wp:extent cx="885825" cy="628650"/>
                  <wp:effectExtent l="0" t="0" r="9525" b="0"/>
                  <wp:docPr id="86" name="图片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393"/>
                          <pic:cNvPicPr>
                            <a:picLocks noChangeAspect="1"/>
                          </pic:cNvPicPr>
                        </pic:nvPicPr>
                        <pic:blipFill>
                          <a:blip r:embed="rId8"/>
                          <a:stretch>
                            <a:fillRect/>
                          </a:stretch>
                        </pic:blipFill>
                        <pic:spPr>
                          <a:xfrm>
                            <a:off x="0" y="0"/>
                            <a:ext cx="885825" cy="628650"/>
                          </a:xfrm>
                          <a:prstGeom prst="rect">
                            <a:avLst/>
                          </a:prstGeom>
                          <a:noFill/>
                          <a:ln>
                            <a:noFill/>
                          </a:ln>
                        </pic:spPr>
                      </pic:pic>
                    </a:graphicData>
                  </a:graphic>
                </wp:inline>
              </w:drawing>
            </w:r>
          </w:p>
        </w:tc>
        <w:tc>
          <w:tcPr>
            <w:tcW w:w="2064" w:type="dxa"/>
            <w:shd w:val="clear" w:color="auto" w:fill="auto"/>
            <w:vAlign w:val="center"/>
          </w:tcPr>
          <w:p w14:paraId="5BEF4038">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drawing>
                <wp:inline distT="0" distB="0" distL="114300" distR="114300">
                  <wp:extent cx="885825" cy="685800"/>
                  <wp:effectExtent l="0" t="0" r="9525" b="0"/>
                  <wp:docPr id="38" name="图片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94"/>
                          <pic:cNvPicPr>
                            <a:picLocks noChangeAspect="1"/>
                          </pic:cNvPicPr>
                        </pic:nvPicPr>
                        <pic:blipFill>
                          <a:blip r:embed="rId9"/>
                          <a:stretch>
                            <a:fillRect/>
                          </a:stretch>
                        </pic:blipFill>
                        <pic:spPr>
                          <a:xfrm>
                            <a:off x="0" y="0"/>
                            <a:ext cx="885825" cy="685800"/>
                          </a:xfrm>
                          <a:prstGeom prst="rect">
                            <a:avLst/>
                          </a:prstGeom>
                          <a:noFill/>
                          <a:ln>
                            <a:noFill/>
                          </a:ln>
                        </pic:spPr>
                      </pic:pic>
                    </a:graphicData>
                  </a:graphic>
                </wp:inline>
              </w:drawing>
            </w:r>
          </w:p>
        </w:tc>
        <w:tc>
          <w:tcPr>
            <w:tcW w:w="1916" w:type="dxa"/>
            <w:shd w:val="clear" w:color="auto" w:fill="auto"/>
            <w:vAlign w:val="center"/>
          </w:tcPr>
          <w:p w14:paraId="09043D75">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串、并联关</w:t>
            </w:r>
          </w:p>
          <w:p w14:paraId="5D0DC32D">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系不同</w:t>
            </w:r>
          </w:p>
        </w:tc>
      </w:tr>
      <w:tr w14:paraId="56011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2240" w:type="dxa"/>
            <w:shd w:val="clear" w:color="auto" w:fill="auto"/>
            <w:vAlign w:val="center"/>
          </w:tcPr>
          <w:p w14:paraId="67387565">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left"/>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14:textFill>
                  <w14:solidFill>
                    <w14:schemeClr w14:val="tx1"/>
                  </w14:solidFill>
                </w14:textFill>
              </w:rPr>
              <w:t>上电压调节范围(不计电源内阻)</w:t>
            </w:r>
          </w:p>
        </w:tc>
        <w:tc>
          <w:tcPr>
            <w:tcW w:w="1999" w:type="dxa"/>
            <w:shd w:val="clear" w:color="auto" w:fill="auto"/>
            <w:vAlign w:val="center"/>
          </w:tcPr>
          <w:p w14:paraId="178BBDFA">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i/>
                <w:color w:val="000000" w:themeColor="text1"/>
                <w:sz w:val="21"/>
                <w:szCs w:val="21"/>
                <w14:textFill>
                  <w14:solidFill>
                    <w14:schemeClr w14:val="tx1"/>
                  </w14:solidFill>
                </w14:textFill>
              </w:rPr>
              <w:t>U</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lang w:val="en-US" w:eastAsia="zh-CN"/>
                <w14:textFill>
                  <w14:solidFill>
                    <w14:schemeClr w14:val="tx1"/>
                  </w14:solidFill>
                </w14:textFill>
              </w:rPr>
              <w:t xml:space="preserve"> </w:t>
            </w:r>
          </w:p>
        </w:tc>
        <w:tc>
          <w:tcPr>
            <w:tcW w:w="2064" w:type="dxa"/>
            <w:shd w:val="clear" w:color="auto" w:fill="auto"/>
            <w:vAlign w:val="center"/>
          </w:tcPr>
          <w:p w14:paraId="43E90075">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default" w:ascii="Times New Roman" w:hAnsi="Times New Roman" w:cs="Times New Roman" w:eastAsiaTheme="minorEastAsia"/>
                <w:i/>
                <w:color w:val="000000" w:themeColor="text1"/>
                <w:sz w:val="21"/>
                <w:szCs w:val="21"/>
                <w14:textFill>
                  <w14:solidFill>
                    <w14:schemeClr w14:val="tx1"/>
                  </w14:solidFill>
                </w14:textFill>
              </w:rPr>
              <w:t>U</w:t>
            </w:r>
            <w:r>
              <w:rPr>
                <w:rFonts w:hint="default" w:ascii="Times New Roman" w:hAnsi="Times New Roman" w:cs="Times New Roman" w:eastAsiaTheme="minorEastAsia"/>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p>
        </w:tc>
        <w:tc>
          <w:tcPr>
            <w:tcW w:w="1916" w:type="dxa"/>
            <w:shd w:val="clear" w:color="auto" w:fill="auto"/>
            <w:vAlign w:val="center"/>
          </w:tcPr>
          <w:p w14:paraId="331C6516">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分压电路调节范围大</w:t>
            </w:r>
          </w:p>
        </w:tc>
      </w:tr>
      <w:tr w14:paraId="6186E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2240" w:type="dxa"/>
            <w:shd w:val="clear" w:color="auto" w:fill="auto"/>
            <w:vAlign w:val="center"/>
          </w:tcPr>
          <w:p w14:paraId="4FF42A3A">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闭合S前触头位置</w:t>
            </w:r>
          </w:p>
        </w:tc>
        <w:tc>
          <w:tcPr>
            <w:tcW w:w="1999" w:type="dxa"/>
            <w:shd w:val="clear" w:color="auto" w:fill="auto"/>
            <w:vAlign w:val="center"/>
          </w:tcPr>
          <w:p w14:paraId="4E6C9656">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eastAsia" w:ascii="Times New Roman" w:hAnsi="Times New Roman" w:cs="Times New Roman"/>
                <w:b w:val="0"/>
                <w:bCs w:val="0"/>
                <w:i/>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端</w:t>
            </w:r>
          </w:p>
        </w:tc>
        <w:tc>
          <w:tcPr>
            <w:tcW w:w="2064" w:type="dxa"/>
            <w:shd w:val="clear" w:color="auto" w:fill="auto"/>
            <w:vAlign w:val="center"/>
          </w:tcPr>
          <w:p w14:paraId="24DB20CD">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center"/>
              <w:textAlignment w:val="auto"/>
              <w:rPr>
                <w:rFonts w:hint="default" w:ascii="Times New Roman" w:hAnsi="Times New Roman" w:cs="Times New Roman" w:eastAsiaTheme="minorEastAsia"/>
                <w:i/>
                <w:color w:val="000000" w:themeColor="text1"/>
                <w:sz w:val="21"/>
                <w:szCs w:val="21"/>
                <w14:textFill>
                  <w14:solidFill>
                    <w14:schemeClr w14:val="tx1"/>
                  </w14:solidFill>
                </w14:textFill>
              </w:rPr>
            </w:pPr>
            <w:r>
              <w:rPr>
                <w:rFonts w:hint="eastAsia" w:ascii="Times New Roman" w:hAnsi="Times New Roman" w:cs="Times New Roman"/>
                <w:i/>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端</w:t>
            </w:r>
          </w:p>
        </w:tc>
        <w:tc>
          <w:tcPr>
            <w:tcW w:w="1916" w:type="dxa"/>
            <w:shd w:val="clear" w:color="auto" w:fill="auto"/>
            <w:vAlign w:val="center"/>
          </w:tcPr>
          <w:p w14:paraId="35204A52">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jc w:val="left"/>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都是为了保护电路元件</w:t>
            </w:r>
          </w:p>
        </w:tc>
      </w:tr>
    </w:tbl>
    <w:p w14:paraId="2677A76B">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68ABCBA4">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3.滑动变阻器两种接法的选择</w:t>
      </w:r>
    </w:p>
    <w:p w14:paraId="61A5426E">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1</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滑动变阻器的最大阻值和用电器的阻值差不多且不要求电压从零开始变化，通常情况下，由于限流式结构简单、耗能少，优先使用限流式</w:t>
      </w:r>
      <w:r>
        <w:rPr>
          <w:rFonts w:hint="eastAsia" w:ascii="Times New Roman" w:hAnsi="Times New Roman" w:cs="Times New Roman"/>
          <w:color w:val="000000" w:themeColor="text1"/>
          <w:sz w:val="21"/>
          <w:szCs w:val="21"/>
          <w:lang w:eastAsia="zh-CN"/>
          <w14:textFill>
            <w14:solidFill>
              <w14:schemeClr w14:val="tx1"/>
            </w14:solidFill>
          </w14:textFill>
        </w:rPr>
        <w:t>。</w:t>
      </w:r>
    </w:p>
    <w:p w14:paraId="6BE55A7D">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2</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滑动变阻器必须接成分压电路的几种情况：</w:t>
      </w:r>
    </w:p>
    <w:p w14:paraId="6A4A775F">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①要求电压表能从</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开始读数，要求电压(电流)测量范围尽可能大</w:t>
      </w:r>
      <w:r>
        <w:rPr>
          <w:rFonts w:hint="eastAsia" w:ascii="Times New Roman" w:hAnsi="Times New Roman" w:cs="Times New Roman"/>
          <w:color w:val="000000" w:themeColor="text1"/>
          <w:sz w:val="21"/>
          <w:szCs w:val="21"/>
          <w:lang w:eastAsia="zh-CN"/>
          <w14:textFill>
            <w14:solidFill>
              <w14:schemeClr w14:val="tx1"/>
            </w14:solidFill>
          </w14:textFill>
        </w:rPr>
        <w:t>；</w:t>
      </w:r>
    </w:p>
    <w:p w14:paraId="43109646">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②当待测电阻</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i/>
          <w:color w:val="000000" w:themeColor="text1"/>
          <w:sz w:val="21"/>
          <w:szCs w:val="21"/>
          <w:vertAlign w:val="subscript"/>
          <w14:textFill>
            <w14:solidFill>
              <w14:schemeClr w14:val="tx1"/>
            </w14:solidFill>
          </w14:textFill>
        </w:rPr>
        <w:t>x</w:t>
      </w:r>
      <w:r>
        <w:rPr>
          <w:rFonts w:hint="eastAsia" w:ascii="Times New Roman" w:hAnsi="Times New Roman" w:cs="Times New Roman"/>
          <w:color w:val="000000" w:themeColor="text1"/>
          <w:sz w:val="21"/>
          <w:szCs w:val="21"/>
          <w:lang w:val="en-US" w:eastAsia="zh-CN"/>
          <w14:textFill>
            <w14:solidFill>
              <w14:schemeClr w14:val="tx1"/>
            </w14:solidFill>
          </w14:textFill>
        </w:rPr>
        <w:t>远大于</w:t>
      </w:r>
      <w:r>
        <w:rPr>
          <w:rFonts w:hint="default" w:ascii="Times New Roman" w:hAnsi="Times New Roman" w:cs="Times New Roman" w:eastAsiaTheme="minorEastAsia"/>
          <w:i/>
          <w:color w:val="000000" w:themeColor="text1"/>
          <w:sz w:val="21"/>
          <w:szCs w:val="21"/>
          <w14:textFill>
            <w14:solidFill>
              <w14:schemeClr w14:val="tx1"/>
            </w14:solidFill>
          </w14:textFill>
        </w:rPr>
        <w:t>R</w:t>
      </w:r>
      <w:r>
        <w:rPr>
          <w:rFonts w:hint="default" w:ascii="Times New Roman" w:hAnsi="Times New Roman" w:cs="Times New Roman" w:eastAsiaTheme="minorEastAsia"/>
          <w:color w:val="000000" w:themeColor="text1"/>
          <w:sz w:val="21"/>
          <w:szCs w:val="21"/>
          <w14:textFill>
            <w14:solidFill>
              <w14:schemeClr w14:val="tx1"/>
            </w14:solidFill>
          </w14:textFill>
        </w:rPr>
        <w:t>(滑动变阻器的最大阻值)时(限流式接法滑动变阻器几乎不起作用)</w:t>
      </w:r>
      <w:r>
        <w:rPr>
          <w:rFonts w:hint="eastAsia" w:ascii="Times New Roman" w:hAnsi="Times New Roman" w:cs="Times New Roman"/>
          <w:color w:val="000000" w:themeColor="text1"/>
          <w:sz w:val="21"/>
          <w:szCs w:val="21"/>
          <w:lang w:eastAsia="zh-CN"/>
          <w14:textFill>
            <w14:solidFill>
              <w14:schemeClr w14:val="tx1"/>
            </w14:solidFill>
          </w14:textFill>
        </w:rPr>
        <w:t>；</w:t>
      </w:r>
    </w:p>
    <w:p w14:paraId="6A8E2593">
      <w:pPr>
        <w:pStyle w:val="2"/>
        <w:keepNext w:val="0"/>
        <w:keepLines w:val="0"/>
        <w:pageBreakBefore w:val="0"/>
        <w:widowControl w:val="0"/>
        <w:tabs>
          <w:tab w:val="left" w:pos="3402"/>
        </w:tabs>
        <w:kinsoku/>
        <w:wordWrap/>
        <w:overflowPunct/>
        <w:topLinePunct w:val="0"/>
        <w:autoSpaceDE/>
        <w:autoSpaceDN/>
        <w:bidi w:val="0"/>
        <w:adjustRightInd/>
        <w:snapToGrid w:val="0"/>
        <w:spacing w:line="408" w:lineRule="auto"/>
        <w:textAlignment w:val="auto"/>
        <w:rPr>
          <w:rFonts w:hint="eastAsia" w:ascii="Times New Roman" w:hAnsi="Times New Roman" w:cs="Times New Roman" w:eastAsiaTheme="minorEastAsia"/>
          <w:color w:val="000000" w:themeColor="text1"/>
          <w:sz w:val="21"/>
          <w:szCs w:val="21"/>
          <w:lang w:eastAsia="zh-CN"/>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③若采用限流式接法，电路中的最小电流仍超过电路中电表、电阻允许的最大电流</w:t>
      </w:r>
      <w:r>
        <w:rPr>
          <w:rFonts w:hint="eastAsia" w:ascii="Times New Roman" w:hAnsi="Times New Roman" w:cs="Times New Roman"/>
          <w:color w:val="000000" w:themeColor="text1"/>
          <w:sz w:val="21"/>
          <w:szCs w:val="21"/>
          <w:lang w:eastAsia="zh-CN"/>
          <w14:textFill>
            <w14:solidFill>
              <w14:schemeClr w14:val="tx1"/>
            </w14:solidFill>
          </w14:textFill>
        </w:rPr>
        <w:t>。</w:t>
      </w:r>
    </w:p>
    <w:p w14:paraId="0F6A6AC0">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4.</w:t>
      </w:r>
      <w:r>
        <w:rPr>
          <w:rFonts w:hint="default" w:ascii="Times New Roman" w:hAnsi="Times New Roman" w:cs="Times New Roman"/>
          <w:color w:val="000000" w:themeColor="text1"/>
          <w:sz w:val="21"/>
          <w:szCs w:val="21"/>
          <w14:textFill>
            <w14:solidFill>
              <w14:schemeClr w14:val="tx1"/>
            </w14:solidFill>
          </w14:textFill>
        </w:rPr>
        <w:t xml:space="preserve">滑动变阻器的选择 </w:t>
      </w:r>
    </w:p>
    <w:p w14:paraId="187B8B3E">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（1）若滑动变阻器采用限流式接法</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则应选择最大阻值比被测电阻大且与被测电阻阻值相差不大的滑动变阻器</w:t>
      </w:r>
      <w:r>
        <w:rPr>
          <w:rFonts w:hint="eastAsia" w:ascii="Times New Roman" w:hAnsi="Times New Roman" w:cs="Times New Roman"/>
          <w:color w:val="000000" w:themeColor="text1"/>
          <w:sz w:val="21"/>
          <w:szCs w:val="21"/>
          <w:lang w:eastAsia="zh-CN"/>
          <w14:textFill>
            <w14:solidFill>
              <w14:schemeClr w14:val="tx1"/>
            </w14:solidFill>
          </w14:textFill>
        </w:rPr>
        <w:t>。</w:t>
      </w:r>
    </w:p>
    <w:p w14:paraId="24F5D1C2">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2</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若滑动变阻器采用分压式接法</w:t>
      </w:r>
      <w:r>
        <w:rPr>
          <w:rFonts w:hint="eastAsia"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cs="Times New Roman"/>
          <w:color w:val="000000" w:themeColor="text1"/>
          <w:sz w:val="21"/>
          <w:szCs w:val="21"/>
          <w14:textFill>
            <w14:solidFill>
              <w14:schemeClr w14:val="tx1"/>
            </w14:solidFill>
          </w14:textFill>
        </w:rPr>
        <w:t>则应选择最大阻值较小的滑动变阻器</w:t>
      </w:r>
      <w:r>
        <w:rPr>
          <w:rFonts w:hint="eastAsia" w:ascii="Times New Roman" w:hAnsi="Times New Roman" w:cs="Times New Roman"/>
          <w:color w:val="000000" w:themeColor="text1"/>
          <w:sz w:val="21"/>
          <w:szCs w:val="21"/>
          <w:lang w:eastAsia="zh-CN"/>
          <w14:textFill>
            <w14:solidFill>
              <w14:schemeClr w14:val="tx1"/>
            </w14:solidFill>
          </w14:textFill>
        </w:rPr>
        <w:t>。</w:t>
      </w:r>
    </w:p>
    <w:p w14:paraId="5389BCD2">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color w:val="000000" w:themeColor="text1"/>
          <w:sz w:val="21"/>
          <w:szCs w:val="21"/>
          <w:lang w:eastAsia="zh-CN"/>
          <w14:textFill>
            <w14:solidFill>
              <w14:schemeClr w14:val="tx1"/>
            </w14:solidFill>
          </w14:textFill>
        </w:rPr>
      </w:pPr>
    </w:p>
    <w:p w14:paraId="0BEF59EF">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eastAsia" w:ascii="Times New Roman" w:hAnsi="Times New Roman" w:cs="Times New Roman"/>
          <w:color w:val="000000" w:themeColor="text1"/>
          <w:sz w:val="21"/>
          <w:szCs w:val="21"/>
          <w:lang w:eastAsia="zh-CN"/>
          <w14:textFill>
            <w14:solidFill>
              <w14:schemeClr w14:val="tx1"/>
            </w14:solidFill>
          </w14:textFill>
        </w:rPr>
      </w:pPr>
    </w:p>
    <w:p w14:paraId="539DA5F2">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示例</w:t>
      </w:r>
    </w:p>
    <w:p w14:paraId="7538AC23">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1.图（a）为</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填“分压式”或“限流式”</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接法，图（b）为</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填“分压式”或“限流式”</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接法</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图（a）闭合开关前，滑片应该滑到</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i/>
          <w:iCs/>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填“</w:t>
      </w:r>
      <w:r>
        <w:rPr>
          <w:rFonts w:hint="default" w:ascii="Times New Roman" w:hAnsi="Times New Roman" w:cs="Times New Roman" w:eastAsiaTheme="minorEastAsia"/>
          <w:i/>
          <w:iCs/>
          <w:color w:val="000000" w:themeColor="text1"/>
          <w:sz w:val="21"/>
          <w:szCs w:val="21"/>
          <w:lang w:val="en-US" w:eastAsia="zh-CN"/>
          <w14:textFill>
            <w14:solidFill>
              <w14:schemeClr w14:val="tx1"/>
            </w14:solidFill>
          </w14:textFill>
        </w:rPr>
        <w:t>a</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”或“</w:t>
      </w:r>
      <w:r>
        <w:rPr>
          <w:rFonts w:hint="default" w:ascii="Times New Roman" w:hAnsi="Times New Roman" w:cs="Times New Roman" w:eastAsiaTheme="minorEastAsia"/>
          <w:i/>
          <w:iCs/>
          <w:color w:val="000000" w:themeColor="text1"/>
          <w:sz w:val="21"/>
          <w:szCs w:val="21"/>
          <w:lang w:val="en-US" w:eastAsia="zh-CN"/>
          <w14:textFill>
            <w14:solidFill>
              <w14:schemeClr w14:val="tx1"/>
            </w14:solidFill>
          </w14:textFill>
        </w:rPr>
        <w:t>b</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端，图（</w:t>
      </w:r>
      <w:r>
        <w:rPr>
          <w:rFonts w:hint="eastAsia" w:ascii="Times New Roman" w:hAnsi="Times New Roman" w:cs="Times New Roman"/>
          <w:color w:val="000000" w:themeColor="text1"/>
          <w:sz w:val="21"/>
          <w:szCs w:val="21"/>
          <w:lang w:val="en-US" w:eastAsia="zh-CN"/>
          <w14:textFill>
            <w14:solidFill>
              <w14:schemeClr w14:val="tx1"/>
            </w14:solidFill>
          </w14:textFill>
        </w:rPr>
        <w:t>b</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闭合开关前，滑片应该滑到</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eastAsia" w:ascii="Times New Roman" w:hAnsi="Times New Roman" w:cs="Times New Roman"/>
          <w:i/>
          <w:iCs/>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填“</w:t>
      </w:r>
      <w:r>
        <w:rPr>
          <w:rFonts w:hint="default" w:ascii="Times New Roman" w:hAnsi="Times New Roman" w:cs="Times New Roman" w:eastAsiaTheme="minorEastAsia"/>
          <w:i/>
          <w:iCs/>
          <w:color w:val="000000" w:themeColor="text1"/>
          <w:sz w:val="21"/>
          <w:szCs w:val="21"/>
          <w:lang w:val="en-US" w:eastAsia="zh-CN"/>
          <w14:textFill>
            <w14:solidFill>
              <w14:schemeClr w14:val="tx1"/>
            </w14:solidFill>
          </w14:textFill>
        </w:rPr>
        <w:t>a</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”或“</w:t>
      </w:r>
      <w:r>
        <w:rPr>
          <w:rFonts w:hint="default" w:ascii="Times New Roman" w:hAnsi="Times New Roman" w:cs="Times New Roman" w:eastAsiaTheme="minorEastAsia"/>
          <w:i/>
          <w:iCs/>
          <w:color w:val="000000" w:themeColor="text1"/>
          <w:sz w:val="21"/>
          <w:szCs w:val="21"/>
          <w:lang w:val="en-US" w:eastAsia="zh-CN"/>
          <w14:textFill>
            <w14:solidFill>
              <w14:schemeClr w14:val="tx1"/>
            </w14:solidFill>
          </w14:textFill>
        </w:rPr>
        <w:t>b</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lang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端。</w:t>
      </w:r>
    </w:p>
    <w:p w14:paraId="61DC1076">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0DCEDF62">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t>2.当 E =3V，r =0</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Ω，R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0</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=100Ω，R</w:t>
      </w:r>
      <w:r>
        <w:rPr>
          <w:rFonts w:hint="default" w:ascii="Times New Roman" w:hAnsi="Times New Roman" w:cs="Times New Roman" w:eastAsiaTheme="minorEastAsia"/>
          <w:color w:val="000000" w:themeColor="text1"/>
          <w:sz w:val="21"/>
          <w:szCs w:val="21"/>
          <w:vertAlign w:val="subscript"/>
          <w14:textFill>
            <w14:solidFill>
              <w14:schemeClr w14:val="tx1"/>
            </w14:solidFill>
          </w14:textFill>
        </w:rPr>
        <w:t>L</w:t>
      </w:r>
      <w:r>
        <w:rPr>
          <w:rFonts w:hint="default" w:ascii="Times New Roman" w:hAnsi="Times New Roman" w:cs="Times New Roman" w:eastAsiaTheme="minorEastAsia"/>
          <w:color w:val="000000" w:themeColor="text1"/>
          <w:sz w:val="21"/>
          <w:szCs w:val="21"/>
          <w14:textFill>
            <w14:solidFill>
              <w14:schemeClr w14:val="tx1"/>
            </w14:solidFill>
          </w14:textFill>
        </w:rPr>
        <w:t xml:space="preserve"> =50Ω时，图（a</w:t>
      </w:r>
      <w:r>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t>)</w:t>
      </w:r>
      <w:r>
        <w:rPr>
          <w:rFonts w:hint="default" w:ascii="Times New Roman" w:hAnsi="Times New Roman" w:cs="Times New Roman" w:eastAsiaTheme="minorEastAsia"/>
          <w:color w:val="000000" w:themeColor="text1"/>
          <w:sz w:val="21"/>
          <w:szCs w:val="21"/>
          <w14:textFill>
            <w14:solidFill>
              <w14:schemeClr w14:val="tx1"/>
            </w14:solidFill>
          </w14:textFill>
        </w:rPr>
        <w:t>电压调节范围是</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V 到</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V，图（b）电压调节</w:t>
      </w:r>
      <w:bookmarkStart w:id="0" w:name="_GoBack"/>
      <w:bookmarkEnd w:id="0"/>
      <w:r>
        <w:rPr>
          <w:rFonts w:hint="default" w:ascii="Times New Roman" w:hAnsi="Times New Roman" w:cs="Times New Roman" w:eastAsiaTheme="minorEastAsia"/>
          <w:color w:val="000000" w:themeColor="text1"/>
          <w:sz w:val="21"/>
          <w:szCs w:val="21"/>
          <w14:textFill>
            <w14:solidFill>
              <w14:schemeClr w14:val="tx1"/>
            </w14:solidFill>
          </w14:textFill>
        </w:rPr>
        <w:t>范围是</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V 到</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sz w:val="21"/>
          <w:szCs w:val="21"/>
          <w14:textFill>
            <w14:solidFill>
              <w14:schemeClr w14:val="tx1"/>
            </w14:solidFill>
          </w14:textFill>
        </w:rPr>
        <w:t>V。</w:t>
      </w:r>
    </w:p>
    <w:p w14:paraId="4FB31C51">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r>
        <w:rPr>
          <w:rFonts w:hint="default" w:ascii="Times New Roman" w:hAnsi="Times New Roman" w:cs="Times New Roman" w:eastAsiaTheme="minorEastAsia"/>
          <w:color w:val="000000" w:themeColor="text1"/>
          <w:sz w:val="21"/>
          <w:szCs w:val="21"/>
          <w14:textFill>
            <w14:solidFill>
              <w14:schemeClr w14:val="tx1"/>
            </w14:solidFill>
          </w14:textFill>
        </w:rPr>
        <w:drawing>
          <wp:anchor distT="0" distB="0" distL="114300" distR="114300" simplePos="0" relativeHeight="251660288" behindDoc="0" locked="0" layoutInCell="1" allowOverlap="1">
            <wp:simplePos x="0" y="0"/>
            <wp:positionH relativeFrom="column">
              <wp:posOffset>2221865</wp:posOffset>
            </wp:positionH>
            <wp:positionV relativeFrom="paragraph">
              <wp:posOffset>74295</wp:posOffset>
            </wp:positionV>
            <wp:extent cx="2983865" cy="1316355"/>
            <wp:effectExtent l="0" t="0" r="6985" b="17145"/>
            <wp:wrapSquare wrapText="bothSides"/>
            <wp:docPr id="8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2"/>
                    <pic:cNvPicPr>
                      <a:picLocks noChangeAspect="1"/>
                    </pic:cNvPicPr>
                  </pic:nvPicPr>
                  <pic:blipFill>
                    <a:blip r:embed="rId10"/>
                    <a:stretch>
                      <a:fillRect/>
                    </a:stretch>
                  </pic:blipFill>
                  <pic:spPr>
                    <a:xfrm>
                      <a:off x="0" y="0"/>
                      <a:ext cx="2983865" cy="1316355"/>
                    </a:xfrm>
                    <a:prstGeom prst="rect">
                      <a:avLst/>
                    </a:prstGeom>
                    <a:noFill/>
                    <a:ln>
                      <a:noFill/>
                    </a:ln>
                  </pic:spPr>
                </pic:pic>
              </a:graphicData>
            </a:graphic>
          </wp:anchor>
        </w:drawing>
      </w:r>
    </w:p>
    <w:p w14:paraId="6AE9D895">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3EED8274">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6370174F">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42BF80EC">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4A73D66E">
      <w:pPr>
        <w:keepNext w:val="0"/>
        <w:keepLines w:val="0"/>
        <w:pageBreakBefore w:val="0"/>
        <w:widowControl w:val="0"/>
        <w:kinsoku/>
        <w:wordWrap/>
        <w:overflowPunct/>
        <w:topLinePunct w:val="0"/>
        <w:autoSpaceDE/>
        <w:autoSpaceDN/>
        <w:bidi w:val="0"/>
        <w:adjustRightInd/>
        <w:snapToGrid/>
        <w:spacing w:line="408" w:lineRule="auto"/>
        <w:jc w:val="both"/>
        <w:textAlignment w:val="auto"/>
        <w:rPr>
          <w:rFonts w:hint="default" w:ascii="Times New Roman" w:hAnsi="Times New Roman" w:cs="Times New Roman" w:eastAsiaTheme="minorEastAsia"/>
          <w:color w:val="000000" w:themeColor="text1"/>
          <w:sz w:val="21"/>
          <w:szCs w:val="21"/>
          <w14:textFill>
            <w14:solidFill>
              <w14:schemeClr w14:val="tx1"/>
            </w14:solidFill>
          </w14:textFill>
        </w:rPr>
      </w:pPr>
    </w:p>
    <w:p w14:paraId="13528209">
      <w:pPr>
        <w:keepNext w:val="0"/>
        <w:keepLines w:val="0"/>
        <w:pageBreakBefore w:val="0"/>
        <w:widowControl w:val="0"/>
        <w:kinsoku/>
        <w:wordWrap/>
        <w:overflowPunct/>
        <w:topLinePunct w:val="0"/>
        <w:autoSpaceDE/>
        <w:autoSpaceDN/>
        <w:bidi w:val="0"/>
        <w:adjustRightInd/>
        <w:spacing w:line="408" w:lineRule="auto"/>
        <w:textAlignment w:val="auto"/>
        <w:rPr>
          <w:rFonts w:hint="default"/>
          <w:color w:val="000000" w:themeColor="text1"/>
          <w:lang w:val="en-US" w:eastAsia="zh-CN"/>
          <w14:textFill>
            <w14:solidFill>
              <w14:schemeClr w14:val="tx1"/>
            </w14:solidFill>
          </w14:textFill>
        </w:rPr>
      </w:pPr>
    </w:p>
    <w:p w14:paraId="5FFB544E">
      <w:pPr>
        <w:keepNext w:val="0"/>
        <w:keepLines w:val="0"/>
        <w:pageBreakBefore w:val="0"/>
        <w:widowControl w:val="0"/>
        <w:kinsoku/>
        <w:wordWrap/>
        <w:overflowPunct/>
        <w:topLinePunct w:val="0"/>
        <w:autoSpaceDE/>
        <w:autoSpaceDN/>
        <w:bidi w:val="0"/>
        <w:adjustRightInd/>
        <w:spacing w:line="408" w:lineRule="auto"/>
        <w:textAlignment w:val="auto"/>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YJ》使用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1B93EE0"/>
    <w:rsid w:val="0AA479FE"/>
    <w:rsid w:val="0D257E20"/>
    <w:rsid w:val="10A854E3"/>
    <w:rsid w:val="13B12EDD"/>
    <w:rsid w:val="15E056F0"/>
    <w:rsid w:val="18270E2D"/>
    <w:rsid w:val="1AB13D5A"/>
    <w:rsid w:val="201472ED"/>
    <w:rsid w:val="290C7E24"/>
    <w:rsid w:val="2BE92C98"/>
    <w:rsid w:val="2CC31B0E"/>
    <w:rsid w:val="2E180D2E"/>
    <w:rsid w:val="313917C7"/>
    <w:rsid w:val="32B85544"/>
    <w:rsid w:val="3A890C98"/>
    <w:rsid w:val="3AED5139"/>
    <w:rsid w:val="3FC76631"/>
    <w:rsid w:val="42752A18"/>
    <w:rsid w:val="435D4F14"/>
    <w:rsid w:val="459E23E7"/>
    <w:rsid w:val="511F1327"/>
    <w:rsid w:val="586D5544"/>
    <w:rsid w:val="5A170C5A"/>
    <w:rsid w:val="5B56564E"/>
    <w:rsid w:val="5C4260EC"/>
    <w:rsid w:val="5ED8702A"/>
    <w:rsid w:val="6D2E262D"/>
    <w:rsid w:val="77270C09"/>
    <w:rsid w:val="780472F2"/>
    <w:rsid w:val="79F05B90"/>
    <w:rsid w:val="7A435623"/>
    <w:rsid w:val="7FDD7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681</Words>
  <Characters>736</Characters>
  <Lines>0</Lines>
  <Paragraphs>0</Paragraphs>
  <TotalTime>0</TotalTime>
  <ScaleCrop>false</ScaleCrop>
  <LinksUpToDate>false</LinksUpToDate>
  <CharactersWithSpaces>905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2025-12-24T07:20:49Z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CB035326989B485FAA0EB76C63B7506A_13</vt:lpwstr>
  </property>
  <property fmtid="{D5CDD505-2E9C-101B-9397-08002B2CF9AE}" pid="4" name="KSOTemplateDocerSaveRecord">
    <vt:lpwstr>eyJoZGlkIjoiMTM1NDJmNjM1NzRlMWEwZDIwZGEzNmJjN2RmYzZlZjUiLCJ1c2VySWQiOiIyMTE0NTg2OTEifQ==</vt:lpwstr>
  </property>
</Properties>
</file>